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2022/50 vom 5. Juni 2023</w:t>
      </w:r>
    </w:p>
    <w:p>
      <w:r>
        <w:t>Sg Versicherungsgericht, 2023-06-05, DE</w:t>
      </w:r>
    </w:p>
    <w:p>
      <w:r>
        <w:rPr>
          <w:b/>
        </w:rPr>
        <w:t xml:space="preserve">Quelle: </w:t>
      </w:r>
      <w:r>
        <w:t>https://mcp.opencaselaw.ch/entscheid/sg_publikationen_UV 2022_50</w:t>
      </w:r>
    </w:p>
    <w:p>
      <w:r>
        <w:t>FR: SG_VERSICHERUNGSGERICHT UV 2022/50 du 5 juin 2023</w:t>
      </w:r>
    </w:p>
    <w:p>
      <w:r>
        <w:t>IT: SG_VERSICHERUNGSGERICHT UV 2022/50 del 5 giugno 2023</w:t>
      </w:r>
    </w:p>
    <w:p>
      <w:pPr>
        <w:pStyle w:val="Heading2"/>
      </w:pPr>
      <w:r>
        <w:t>Regeste</w:t>
      </w:r>
    </w:p>
    <w:p>
      <w:r>
        <w:t>Art. 6 UVG. Ungenügende Aktenlage in Bezug auf den Zeitpunkt des Erreichens des Status quo sine nach Verkehrsunfall bei degenerativem Vorzustand in der Halswirbelsäule (Entscheid des Versicherungsgerichts des Kantons St. Gallen vom 5. Juni 2023, UV 2022/50).</w:t>
      </w:r>
    </w:p>
    <w:p>
      <w:pPr>
        <w:pStyle w:val="Heading2"/>
      </w:pPr>
      <w:r>
        <w:t>Erwägungen</w:t>
      </w:r>
    </w:p>
    <w:p>
      <w:r>
        <w:rPr>
          <w:b/>
        </w:rPr>
        <w:t>E. 27</w:t>
      </w:r>
    </w:p>
    <w:p>
      <w:r>
        <w:t>Juli 2022 aufgehoben und die Streitsache zu ergänzenden Abklärungen im Sinne der Erwägungen und zu neuer Verfügung an die Beschwerdegegnerin zurückgewiesen wird. Im Übrigen wird die Beschwerde abgewiesen. Es werden keine Gerichtskosten erhoben.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